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0B315F"/>
          </w:tcPr>
          <w:p>
            <w:r>
              <w:rPr>
                <w:b/>
                <w:color w:val="FFFFFF"/>
                <w:sz w:val="32"/>
              </w:rPr>
              <w:t>ESP GROUPE</w:t>
              <w:br/>
            </w:r>
            <w:r>
              <w:rPr>
                <w:color w:val="FFFFFF"/>
                <w:sz w:val="16"/>
              </w:rPr>
              <w:t>Partenaire stratégique</w:t>
            </w:r>
          </w:p>
        </w:tc>
        <w:tc>
          <w:tcPr>
            <w:tcW w:type="dxa" w:w="5100"/>
            <w:shd w:fill="F2B705"/>
          </w:tcPr>
          <w:p>
            <w:pPr>
              <w:jc w:val="right"/>
            </w:pPr>
            <w:r>
              <w:rPr>
                <w:b/>
                <w:color w:val="0A3161"/>
                <w:sz w:val="26"/>
              </w:rPr>
              <w:t>Kintélé Smart &amp; Safe City 2027</w:t>
              <w:br/>
            </w:r>
            <w:r>
              <w:rPr>
                <w:color w:val="0A3161"/>
                <w:sz w:val="16"/>
              </w:rPr>
              <w:t>Note conceptuelle</w:t>
            </w:r>
          </w:p>
        </w:tc>
      </w:tr>
    </w:tbl>
    <w:p/>
    <w:p>
      <w:pPr>
        <w:pStyle w:val="Heading1"/>
      </w:pPr>
      <w:r>
        <w:t>Kintélé Smart &amp; Safe City 2027</w:t>
      </w:r>
    </w:p>
    <w:p>
      <w:r>
        <w:t>Faire du SIIViM 2027 un accélérateur de transformation territoriale pour Kintélé, le Grand Brazzaville et le Congo.</w:t>
      </w:r>
    </w:p>
    <w:p>
      <w:pPr>
        <w:pStyle w:val="Heading2"/>
      </w:pPr>
      <w:r>
        <w:t>Vision</w:t>
      </w:r>
    </w:p>
    <w:p>
      <w:r>
        <w:t>Positionner Kintélé comme vitrine congolaise et africaine de la ville intelligente, durable et sécurisée. Le SIIViM 2027 doit être plus qu’un sommet : il doit devenir un déclencheur de projets concrets, visibles et mesurables.</w:t>
      </w:r>
    </w:p>
    <w:p>
      <w:pPr>
        <w:pStyle w:val="Heading2"/>
      </w:pPr>
      <w:r>
        <w:t>Rôle d’ESP Groupe</w:t>
      </w:r>
    </w:p>
    <w:p>
      <w:r>
        <w:t>ESP Groupe intervient comme partenaire stratégique d’appui auprès de la Mairie de Kintélé : structuration institutionnelle, mobilisation de partenaires, recherche de sponsors, appui sécurité/protocole, valorisation internationale et suivi post-événement.</w:t>
      </w:r>
    </w:p>
    <w:p>
      <w:pPr>
        <w:pStyle w:val="Heading2"/>
      </w:pPr>
      <w:r>
        <w:t>Axes prioritaires</w:t>
      </w:r>
    </w:p>
    <w:p>
      <w:r>
        <w:t>1. Sécurité urbaine intelligente. 2. Administration numérique locale. 3. Énergie et éclairage public. 4. Mobilité et gestion des flux. 5. Formation jeunesse et métiers du numérique. 6. Village innovation France-Québec-Afrique.</w:t>
      </w:r>
    </w:p>
    <w:p>
      <w:pPr>
        <w:pStyle w:val="Heading2"/>
      </w:pPr>
      <w:r>
        <w:t>Livrables proposés</w:t>
      </w:r>
    </w:p>
    <w:p>
      <w:r>
        <w:t>Note stratégique, dossier institutionnel, pitch deck, courriers officiels, cartographie des partenaires, programme provisoire, plan sécurité, plan sponsors, rapport post-événement et feuille de route 2027-2030.</w:t>
      </w:r>
    </w:p>
    <w:p>
      <w:pPr>
        <w:pStyle w:val="Heading2"/>
      </w:pPr>
      <w:r>
        <w:t>Impact attendu</w:t>
      </w:r>
    </w:p>
    <w:p>
      <w:r>
        <w:t>Renforcement de l’image internationale de Kintélé, attractivité économique, mobilisation d’entreprises, amélioration des services publics locaux, formation des jeunes et création d’un modèle reproductible dans d’autres villes congolaises.</w:t>
      </w:r>
    </w:p>
    <w:sectPr w:rsidR="00FC693F" w:rsidRPr="0006063C" w:rsidSect="00034616">
      <w:footerReference w:type="default" r:id="rId9"/>
      <w:pgSz w:w="12240" w:h="15840"/>
      <w:pgMar w:top="964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ESP Groupe x Mairie de Kintélé - SIIViM 2027 - Document de travail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ptos Display" w:hAnsi="Aptos Display"/>
      <w:b/>
      <w:bCs/>
      <w:color w:val="0A3161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ptos Display" w:hAnsi="Aptos Display"/>
      <w:b/>
      <w:bCs/>
      <w:color w:val="0F50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ptos Display" w:hAnsi="Aptos Display"/>
      <w:b/>
      <w:bCs/>
      <w:color w:val="1E1E1E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